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8C49" w14:textId="77777777" w:rsidR="00974A05" w:rsidRDefault="00974A05" w:rsidP="00974A05">
      <w:r>
        <w:rPr>
          <w:rStyle w:val="m-1851033252022078359mcnpreviewtext"/>
          <w:sz w:val="2"/>
          <w:szCs w:val="2"/>
        </w:rPr>
        <w:t>We hope you are doing well during this trying time. Here are some resources that you may find useful. </w:t>
      </w:r>
      <w: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974A05" w14:paraId="0AB1C7C7" w14:textId="77777777" w:rsidTr="00974A05">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74A05" w14:paraId="3CF0CED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974A05" w14:paraId="48ACB89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974A05" w14:paraId="7AAF48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74A05" w14:paraId="6E2FF582" w14:textId="77777777">
                                <w:tc>
                                  <w:tcPr>
                                    <w:tcW w:w="0" w:type="auto"/>
                                    <w:tcMar>
                                      <w:top w:w="0" w:type="dxa"/>
                                      <w:left w:w="135" w:type="dxa"/>
                                      <w:bottom w:w="0" w:type="dxa"/>
                                      <w:right w:w="135" w:type="dxa"/>
                                    </w:tcMar>
                                    <w:hideMark/>
                                  </w:tcPr>
                                  <w:p w14:paraId="41DD9F2A" w14:textId="77777777" w:rsidR="00974A05" w:rsidRDefault="00974A05">
                                    <w:pPr>
                                      <w:jc w:val="center"/>
                                      <w:rPr>
                                        <w:lang w:eastAsia="en-US"/>
                                      </w:rPr>
                                    </w:pPr>
                                    <w:r>
                                      <w:rPr>
                                        <w:noProof/>
                                        <w:lang w:eastAsia="en-US"/>
                                      </w:rPr>
                                      <w:drawing>
                                        <wp:inline distT="0" distB="0" distL="0" distR="0" wp14:anchorId="68E35B57" wp14:editId="7533F67D">
                                          <wp:extent cx="537210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971550"/>
                                                  </a:xfrm>
                                                  <a:prstGeom prst="rect">
                                                    <a:avLst/>
                                                  </a:prstGeom>
                                                  <a:noFill/>
                                                  <a:ln>
                                                    <a:noFill/>
                                                  </a:ln>
                                                </pic:spPr>
                                              </pic:pic>
                                            </a:graphicData>
                                          </a:graphic>
                                        </wp:inline>
                                      </w:drawing>
                                    </w:r>
                                  </w:p>
                                </w:tc>
                              </w:tr>
                            </w:tbl>
                            <w:p w14:paraId="40EA619B" w14:textId="77777777" w:rsidR="00974A05" w:rsidRDefault="00974A05">
                              <w:pPr>
                                <w:rPr>
                                  <w:rFonts w:asciiTheme="minorHAnsi" w:hAnsiTheme="minorHAnsi" w:cstheme="minorBidi"/>
                                  <w:lang w:eastAsia="en-US"/>
                                </w:rPr>
                              </w:pPr>
                            </w:p>
                          </w:tc>
                        </w:tr>
                      </w:tbl>
                      <w:p w14:paraId="316A4041" w14:textId="77777777" w:rsidR="00974A05" w:rsidRDefault="00974A05">
                        <w:pPr>
                          <w:rPr>
                            <w:lang w:eastAsia="en-US"/>
                          </w:rPr>
                        </w:pPr>
                      </w:p>
                      <w:tbl>
                        <w:tblPr>
                          <w:tblW w:w="5000" w:type="pct"/>
                          <w:tblCellMar>
                            <w:left w:w="0" w:type="dxa"/>
                            <w:right w:w="0" w:type="dxa"/>
                          </w:tblCellMar>
                          <w:tblLook w:val="04A0" w:firstRow="1" w:lastRow="0" w:firstColumn="1" w:lastColumn="0" w:noHBand="0" w:noVBand="1"/>
                        </w:tblPr>
                        <w:tblGrid>
                          <w:gridCol w:w="9360"/>
                        </w:tblGrid>
                        <w:tr w:rsidR="00974A05" w14:paraId="7E5A1A98" w14:textId="77777777">
                          <w:tc>
                            <w:tcPr>
                              <w:tcW w:w="0" w:type="auto"/>
                              <w:tcMar>
                                <w:top w:w="450" w:type="dxa"/>
                                <w:left w:w="270" w:type="dxa"/>
                                <w:bottom w:w="4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974A05" w14:paraId="4AF3489B" w14:textId="77777777">
                                <w:tc>
                                  <w:tcPr>
                                    <w:tcW w:w="0" w:type="auto"/>
                                    <w:tcBorders>
                                      <w:top w:val="single" w:sz="12" w:space="0" w:color="EAEAEA"/>
                                      <w:left w:val="nil"/>
                                      <w:bottom w:val="nil"/>
                                      <w:right w:val="nil"/>
                                    </w:tcBorders>
                                    <w:vAlign w:val="center"/>
                                    <w:hideMark/>
                                  </w:tcPr>
                                  <w:p w14:paraId="542FDB0C" w14:textId="77777777" w:rsidR="00974A05" w:rsidRDefault="00974A05">
                                    <w:pPr>
                                      <w:rPr>
                                        <w:lang w:eastAsia="en-US"/>
                                      </w:rPr>
                                    </w:pPr>
                                  </w:p>
                                </w:tc>
                              </w:tr>
                            </w:tbl>
                            <w:p w14:paraId="723535B3" w14:textId="77777777" w:rsidR="00974A05" w:rsidRDefault="00974A05">
                              <w:pPr>
                                <w:rPr>
                                  <w:rFonts w:asciiTheme="minorHAnsi" w:hAnsiTheme="minorHAnsi" w:cstheme="minorBidi"/>
                                  <w:lang w:eastAsia="en-US"/>
                                </w:rPr>
                              </w:pPr>
                            </w:p>
                          </w:tc>
                        </w:tr>
                      </w:tbl>
                      <w:p w14:paraId="61BB421C" w14:textId="77777777" w:rsidR="00974A05" w:rsidRDefault="00974A05">
                        <w:pPr>
                          <w:rPr>
                            <w:lang w:eastAsia="en-US"/>
                          </w:rPr>
                        </w:pPr>
                      </w:p>
                      <w:tbl>
                        <w:tblPr>
                          <w:tblW w:w="5000" w:type="pct"/>
                          <w:tblCellMar>
                            <w:left w:w="0" w:type="dxa"/>
                            <w:right w:w="0" w:type="dxa"/>
                          </w:tblCellMar>
                          <w:tblLook w:val="04A0" w:firstRow="1" w:lastRow="0" w:firstColumn="1" w:lastColumn="0" w:noHBand="0" w:noVBand="1"/>
                        </w:tblPr>
                        <w:tblGrid>
                          <w:gridCol w:w="9360"/>
                        </w:tblGrid>
                        <w:tr w:rsidR="00974A05" w14:paraId="45F68A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4A05" w14:paraId="36B839DC" w14:textId="77777777">
                                <w:tc>
                                  <w:tcPr>
                                    <w:tcW w:w="0" w:type="auto"/>
                                    <w:tcMar>
                                      <w:top w:w="0" w:type="dxa"/>
                                      <w:left w:w="270" w:type="dxa"/>
                                      <w:bottom w:w="135" w:type="dxa"/>
                                      <w:right w:w="270" w:type="dxa"/>
                                    </w:tcMar>
                                    <w:hideMark/>
                                  </w:tcPr>
                                  <w:p w14:paraId="67E426FA" w14:textId="77777777" w:rsidR="00974A05" w:rsidRDefault="00974A05">
                                    <w:pPr>
                                      <w:spacing w:line="480" w:lineRule="auto"/>
                                      <w:jc w:val="center"/>
                                      <w:rPr>
                                        <w:rFonts w:ascii="Helvetica" w:hAnsi="Helvetica" w:cs="Helvetica"/>
                                        <w:color w:val="222222"/>
                                        <w:sz w:val="24"/>
                                        <w:szCs w:val="24"/>
                                        <w:lang w:eastAsia="en-US"/>
                                      </w:rPr>
                                    </w:pPr>
                                    <w:bookmarkStart w:id="0" w:name="_GoBack"/>
                                    <w:r>
                                      <w:rPr>
                                        <w:rStyle w:val="Strong"/>
                                        <w:rFonts w:ascii="Helvetica" w:hAnsi="Helvetica" w:cs="Helvetica"/>
                                        <w:color w:val="222222"/>
                                        <w:sz w:val="60"/>
                                        <w:szCs w:val="60"/>
                                        <w:lang w:eastAsia="en-US"/>
                                      </w:rPr>
                                      <w:t>SUMMARY OF GOVERNMENT PROGRAMS FOR COVID-19</w:t>
                                    </w:r>
                                    <w:bookmarkEnd w:id="0"/>
                                  </w:p>
                                </w:tc>
                              </w:tr>
                            </w:tbl>
                            <w:p w14:paraId="54907C1F" w14:textId="77777777" w:rsidR="00974A05" w:rsidRDefault="00974A05">
                              <w:pPr>
                                <w:rPr>
                                  <w:rFonts w:asciiTheme="minorHAnsi" w:hAnsiTheme="minorHAnsi" w:cstheme="minorBidi"/>
                                  <w:lang w:eastAsia="en-US"/>
                                </w:rPr>
                              </w:pPr>
                            </w:p>
                          </w:tc>
                        </w:tr>
                      </w:tbl>
                      <w:p w14:paraId="1E3A9682" w14:textId="77777777" w:rsidR="00974A05" w:rsidRDefault="00974A05">
                        <w:pPr>
                          <w:rPr>
                            <w:rFonts w:asciiTheme="minorHAnsi" w:hAnsiTheme="minorHAnsi" w:cstheme="minorBidi"/>
                            <w:lang w:eastAsia="en-US"/>
                          </w:rPr>
                        </w:pPr>
                      </w:p>
                    </w:tc>
                  </w:tr>
                </w:tbl>
                <w:p w14:paraId="25335280" w14:textId="77777777" w:rsidR="00974A05" w:rsidRDefault="00974A05">
                  <w:pPr>
                    <w:jc w:val="center"/>
                    <w:rPr>
                      <w:rFonts w:asciiTheme="minorHAnsi" w:hAnsiTheme="minorHAnsi" w:cstheme="minorBidi"/>
                      <w:lang w:eastAsia="en-US"/>
                    </w:rPr>
                  </w:pPr>
                </w:p>
              </w:tc>
            </w:tr>
            <w:tr w:rsidR="00974A05" w14:paraId="033D28FC" w14:textId="77777777">
              <w:trPr>
                <w:jc w:val="center"/>
              </w:trPr>
              <w:tc>
                <w:tcPr>
                  <w:tcW w:w="0" w:type="auto"/>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74A05" w14:paraId="0433F90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974A05" w14:paraId="50C985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4A05" w14:paraId="601EF247" w14:textId="77777777">
                                <w:tc>
                                  <w:tcPr>
                                    <w:tcW w:w="0" w:type="auto"/>
                                    <w:tcMar>
                                      <w:top w:w="0" w:type="dxa"/>
                                      <w:left w:w="270" w:type="dxa"/>
                                      <w:bottom w:w="135" w:type="dxa"/>
                                      <w:right w:w="270" w:type="dxa"/>
                                    </w:tcMar>
                                    <w:hideMark/>
                                  </w:tcPr>
                                  <w:p w14:paraId="7D3B0B5A"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 xml:space="preserve">Here is a summary on the latest announcements as of March 27, 2020. Thank you to Scott from </w:t>
                                    </w:r>
                                    <w:hyperlink r:id="rId5" w:tgtFrame="_blank" w:history="1">
                                      <w:r>
                                        <w:rPr>
                                          <w:rStyle w:val="Hyperlink"/>
                                          <w:rFonts w:ascii="Helvetica" w:hAnsi="Helvetica" w:cs="Helvetica"/>
                                          <w:color w:val="007C89"/>
                                          <w:sz w:val="24"/>
                                          <w:szCs w:val="24"/>
                                          <w:lang w:eastAsia="en-US"/>
                                        </w:rPr>
                                        <w:t>Dirt B Gone</w:t>
                                      </w:r>
                                    </w:hyperlink>
                                    <w:r>
                                      <w:rPr>
                                        <w:rFonts w:ascii="Helvetica" w:hAnsi="Helvetica" w:cs="Helvetica"/>
                                        <w:color w:val="757575"/>
                                        <w:sz w:val="24"/>
                                        <w:szCs w:val="24"/>
                                        <w:lang w:eastAsia="en-US"/>
                                      </w:rPr>
                                      <w:t xml:space="preserve"> for forwarding this to us. </w:t>
                                    </w:r>
                                    <w:r>
                                      <w:rPr>
                                        <w:rFonts w:ascii="Helvetica" w:hAnsi="Helvetica" w:cs="Helvetica"/>
                                        <w:color w:val="757575"/>
                                        <w:sz w:val="24"/>
                                        <w:szCs w:val="24"/>
                                        <w:lang w:eastAsia="en-US"/>
                                      </w:rPr>
                                      <w:br/>
                                      <w:t> </w:t>
                                    </w:r>
                                  </w:p>
                                  <w:p w14:paraId="5D2F7D52"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Style w:val="Strong"/>
                                        <w:rFonts w:ascii="Helvetica" w:hAnsi="Helvetica" w:cs="Helvetica"/>
                                        <w:color w:val="757575"/>
                                        <w:sz w:val="27"/>
                                        <w:szCs w:val="27"/>
                                        <w:lang w:eastAsia="en-US"/>
                                      </w:rPr>
                                      <w:t>Small Business Owners and Entrepreneurs – 75% Subsidy</w:t>
                                    </w:r>
                                  </w:p>
                                  <w:p w14:paraId="01E795EC"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 xml:space="preserve">Earlier today Prime Minister Justin Trudeau announced an increase in the previously announced wage subsidy for eligible employers from 10% to 75% of wages paid during the qualifying period. This is a retroactive announcement that takes effect March 15, 2020. This does not apply to the remittance of EI or CPP – strictly the income tax withheld from the workers. This subsidy allows employers to </w:t>
                                    </w:r>
                                    <w:r>
                                      <w:rPr>
                                        <w:rFonts w:ascii="Helvetica" w:hAnsi="Helvetica" w:cs="Helvetica"/>
                                        <w:color w:val="757575"/>
                                        <w:sz w:val="24"/>
                                        <w:szCs w:val="24"/>
                                        <w:lang w:eastAsia="en-US"/>
                                      </w:rPr>
                                      <w:lastRenderedPageBreak/>
                                      <w:t>reduce the amount of employees’ income tax that they would otherwise have had to remit in their next payroll deduction remittance.</w:t>
                                    </w:r>
                                  </w:p>
                                  <w:p w14:paraId="2C6F3E20"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The subsidy allows the employer to reduce their April source deductions payment for this subsidy amount.</w:t>
                                    </w:r>
                                  </w:p>
                                  <w:p w14:paraId="42AF1EBB"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It is not clear at this time as to the maximum per employee or aggregate for the employer nor is it clear as to how this tax withheld is treated by the employer. It will either be a deferral and due later or will treated as income to the employer.</w:t>
                                    </w:r>
                                  </w:p>
                                  <w:p w14:paraId="533AB2E4"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Under the previous announcement an eligible employer is an employer that qualifies for the small business deduction, a sole proprietorship, partnership, charity or not for profit.</w:t>
                                    </w:r>
                                  </w:p>
                                  <w:p w14:paraId="0DEDAF32"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 </w:t>
                                    </w:r>
                                  </w:p>
                                  <w:p w14:paraId="7266C6E3"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Style w:val="Strong"/>
                                        <w:rFonts w:ascii="Helvetica" w:hAnsi="Helvetica" w:cs="Helvetica"/>
                                        <w:color w:val="757575"/>
                                        <w:sz w:val="27"/>
                                        <w:szCs w:val="27"/>
                                        <w:lang w:eastAsia="en-US"/>
                                      </w:rPr>
                                      <w:t>Canadian Emergency Business Account (CEBA)</w:t>
                                    </w:r>
                                  </w:p>
                                  <w:p w14:paraId="6BE8D55E"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This allows qualifying entrepreneurs to borrow up to $40,000 from a government approved financial institution. This loan is guaranteed to the institution by the federal government. This loan is interest free for the first year.</w:t>
                                    </w:r>
                                  </w:p>
                                  <w:p w14:paraId="5E4E6E5C"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If you meet certain conditions, yet to be identified, there could be a $10,000 forgivable amount.</w:t>
                                    </w:r>
                                  </w:p>
                                  <w:p w14:paraId="01EC98F7"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br/>
                                    </w:r>
                                    <w:r>
                                      <w:rPr>
                                        <w:rStyle w:val="Strong"/>
                                        <w:rFonts w:ascii="Helvetica" w:hAnsi="Helvetica" w:cs="Helvetica"/>
                                        <w:color w:val="757575"/>
                                        <w:sz w:val="27"/>
                                        <w:szCs w:val="27"/>
                                        <w:lang w:eastAsia="en-US"/>
                                      </w:rPr>
                                      <w:t>HST, Import Duties &amp; Taxes Payment Deferral</w:t>
                                    </w:r>
                                  </w:p>
                                  <w:p w14:paraId="6CB4F187"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All payments for these taxes and duties that are due now, April or May are now not due to be paid until June without interest or penalty.</w:t>
                                    </w:r>
                                  </w:p>
                                  <w:p w14:paraId="74A2B1EB"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Canada Emergency Response Benefit (CERB)</w:t>
                                    </w:r>
                                  </w:p>
                                  <w:p w14:paraId="2090681A"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CERB replaces the emergency support benefit. This program covers all Canadian employees that are affected by covid-19.</w:t>
                                    </w:r>
                                  </w:p>
                                  <w:p w14:paraId="5EF67E4B"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It includes employees, contract workers and self-employed entrepreneurs, including sole proprietors.</w:t>
                                    </w:r>
                                  </w:p>
                                  <w:p w14:paraId="3157DCB6"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This program covers those that have lost their job due to covid,-19, are sick, quarantined, caring for a family member that is sick, staying home to be with their children that must be home due to the closing of schools and day care, have stopped working or are still employed but no income is coming in due to work disruptions or stoppage</w:t>
                                    </w:r>
                                  </w:p>
                                  <w:p w14:paraId="12BB0750"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CERB provides all qualified applicants with a flat rate of $2,000 per month for four months. The program is available until October 3, 2020.</w:t>
                                    </w:r>
                                  </w:p>
                                  <w:p w14:paraId="2C144FB2"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You cannot receive EI benefits and CERB at the same time however if you qualify for any provincial programs you may also receive CERB benefits.</w:t>
                                    </w:r>
                                  </w:p>
                                  <w:p w14:paraId="22422C05"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The portal to apply for this benefit will be available in early April. To ensure no disruption in receiving this benefit ensure that direct deposit for yourself has been set up.</w:t>
                                    </w:r>
                                    <w:r>
                                      <w:rPr>
                                        <w:rFonts w:ascii="Helvetica" w:hAnsi="Helvetica" w:cs="Helvetica"/>
                                        <w:color w:val="757575"/>
                                        <w:sz w:val="24"/>
                                        <w:szCs w:val="24"/>
                                        <w:lang w:eastAsia="en-US"/>
                                      </w:rPr>
                                      <w:br/>
                                      <w:t> </w:t>
                                    </w:r>
                                  </w:p>
                                  <w:p w14:paraId="5F9F72D0"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7"/>
                                        <w:szCs w:val="27"/>
                                        <w:lang w:eastAsia="en-US"/>
                                      </w:rPr>
                                      <w:t>Businesses - Tax &amp; Financing Improvements</w:t>
                                    </w:r>
                                  </w:p>
                                  <w:p w14:paraId="03047BD8"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Income tax payments, including tax instalment payments, are deferred and not due now until August 31.</w:t>
                                    </w:r>
                                  </w:p>
                                  <w:p w14:paraId="5E0FBE9F"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All post HST assessments and income tax audits will be stopped for the next four weeks, possibly mid to late April.</w:t>
                                    </w:r>
                                  </w:p>
                                  <w:p w14:paraId="1D10B99A"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BDC &amp; EDC have been provided an additional $12.5 billion by the government of Canada to qualifying SME’s to borrow.</w:t>
                                    </w:r>
                                  </w:p>
                                  <w:p w14:paraId="25ACF947"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BDC is offering working capital loans of $2 million with flexible repayment terms.</w:t>
                                    </w:r>
                                  </w:p>
                                  <w:p w14:paraId="77E3D256"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With existing BDC loans under $1 million postponement of principal payments for up to six months.</w:t>
                                    </w:r>
                                  </w:p>
                                  <w:p w14:paraId="7A091A42"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The Bank of Canada has lowered the interest rate and has also lowered all banks Domestic Stability Buffer by 1.25%. This will allow the banks to free up an additional $300 Billion to lend.</w:t>
                                    </w:r>
                                  </w:p>
                                  <w:p w14:paraId="4A416145"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 </w:t>
                                    </w:r>
                                  </w:p>
                                  <w:p w14:paraId="493D6151"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Style w:val="Strong"/>
                                        <w:rFonts w:ascii="Helvetica" w:hAnsi="Helvetica" w:cs="Helvetica"/>
                                        <w:color w:val="757575"/>
                                        <w:sz w:val="27"/>
                                        <w:szCs w:val="27"/>
                                        <w:lang w:eastAsia="en-US"/>
                                      </w:rPr>
                                      <w:t>Ontario Specific Items</w:t>
                                    </w:r>
                                  </w:p>
                                  <w:p w14:paraId="52CB44AE"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Any premium payments for WSIB are deferred to August 31st.</w:t>
                                    </w:r>
                                  </w:p>
                                  <w:p w14:paraId="5B16A266"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The provincial EHT exemption limit will be increased from $490,000 to $1 million for the 2020 calendar year.</w:t>
                                    </w:r>
                                    <w:r>
                                      <w:rPr>
                                        <w:rFonts w:ascii="Helvetica" w:hAnsi="Helvetica" w:cs="Helvetica"/>
                                        <w:color w:val="757575"/>
                                        <w:sz w:val="24"/>
                                        <w:szCs w:val="24"/>
                                        <w:lang w:eastAsia="en-US"/>
                                      </w:rPr>
                                      <w:br/>
                                      <w:t> </w:t>
                                    </w:r>
                                  </w:p>
                                  <w:p w14:paraId="0E60FF12"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Style w:val="Strong"/>
                                        <w:rFonts w:ascii="Helvetica" w:hAnsi="Helvetica" w:cs="Helvetica"/>
                                        <w:color w:val="757575"/>
                                        <w:sz w:val="27"/>
                                        <w:szCs w:val="27"/>
                                        <w:lang w:eastAsia="en-US"/>
                                      </w:rPr>
                                      <w:t>Individual Benefits and Income Tax</w:t>
                                    </w:r>
                                  </w:p>
                                  <w:p w14:paraId="3A260B1D"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Those individuals that are currently receiving payments under the GSTC program will receive double that amount in the month of May. This is a one-time payment.</w:t>
                                    </w:r>
                                  </w:p>
                                  <w:p w14:paraId="60852C81"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If you are receiving the Canada Child Benefit (CCB) the payment will be increased by $300 per child starting in May and will continue for the 2019/2020 qualifying period.</w:t>
                                    </w:r>
                                  </w:p>
                                  <w:p w14:paraId="700929F3"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For those currently paying any Canada Student Loan there is a six-month interest free moratorium on payments.</w:t>
                                    </w:r>
                                  </w:p>
                                  <w:p w14:paraId="2A9B4E5B"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Seniors that are required to withdraw funds from their Registered Retirement Income Funds (RRIF’s) annually the minimum withdrawal for 2020 is now reduced by 25%.</w:t>
                                    </w:r>
                                  </w:p>
                                  <w:p w14:paraId="2319D54C"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The income tax filing deadline has been extended from April 30 to June 1 however the government strongly advises that if you qualify for the GSTC or CCB programs you should still file by April 30.</w:t>
                                    </w:r>
                                  </w:p>
                                  <w:p w14:paraId="31188F17"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If any income tax or HST is payable there is an extension to August 31st without any interest or penalties.</w:t>
                                    </w:r>
                                  </w:p>
                                  <w:p w14:paraId="16362DF7"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CRA has announced that they will recognize and accept electronic signatures for your personal income tax returns and authorizations. This will allow the taxpayer to fully utilize electronic services from their accounting firm.</w:t>
                                    </w:r>
                                  </w:p>
                                  <w:p w14:paraId="378E1095" w14:textId="77777777" w:rsidR="00974A05" w:rsidRDefault="00974A05">
                                    <w:pPr>
                                      <w:pStyle w:val="NormalWeb"/>
                                      <w:spacing w:before="150" w:beforeAutospacing="0" w:after="150" w:afterAutospacing="0" w:line="360" w:lineRule="auto"/>
                                      <w:rPr>
                                        <w:rFonts w:ascii="Helvetica" w:hAnsi="Helvetica" w:cs="Helvetica"/>
                                        <w:color w:val="757575"/>
                                        <w:sz w:val="24"/>
                                        <w:szCs w:val="24"/>
                                        <w:lang w:eastAsia="en-US"/>
                                      </w:rPr>
                                    </w:pPr>
                                    <w:r>
                                      <w:rPr>
                                        <w:rFonts w:ascii="Helvetica" w:hAnsi="Helvetica" w:cs="Helvetica"/>
                                        <w:color w:val="757575"/>
                                        <w:sz w:val="24"/>
                                        <w:szCs w:val="24"/>
                                        <w:lang w:eastAsia="en-US"/>
                                      </w:rPr>
                                      <w:t> </w:t>
                                    </w:r>
                                  </w:p>
                                </w:tc>
                              </w:tr>
                            </w:tbl>
                            <w:p w14:paraId="1E4178F1" w14:textId="77777777" w:rsidR="00974A05" w:rsidRDefault="00974A05">
                              <w:pPr>
                                <w:rPr>
                                  <w:rFonts w:asciiTheme="minorHAnsi" w:hAnsiTheme="minorHAnsi" w:cstheme="minorBidi"/>
                                  <w:lang w:eastAsia="en-US"/>
                                </w:rPr>
                              </w:pPr>
                            </w:p>
                          </w:tc>
                        </w:tr>
                      </w:tbl>
                      <w:p w14:paraId="5E1911D0" w14:textId="77777777" w:rsidR="00974A05" w:rsidRDefault="00974A05">
                        <w:pPr>
                          <w:rPr>
                            <w:lang w:eastAsia="en-US"/>
                          </w:rPr>
                        </w:pPr>
                      </w:p>
                      <w:tbl>
                        <w:tblPr>
                          <w:tblW w:w="5000" w:type="pct"/>
                          <w:tblCellMar>
                            <w:left w:w="0" w:type="dxa"/>
                            <w:right w:w="0" w:type="dxa"/>
                          </w:tblCellMar>
                          <w:tblLook w:val="04A0" w:firstRow="1" w:lastRow="0" w:firstColumn="1" w:lastColumn="0" w:noHBand="0" w:noVBand="1"/>
                        </w:tblPr>
                        <w:tblGrid>
                          <w:gridCol w:w="9360"/>
                        </w:tblGrid>
                        <w:tr w:rsidR="00974A05" w14:paraId="434D41C0"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4A05" w14:paraId="14CE6E32" w14:textId="77777777">
                                <w:tc>
                                  <w:tcPr>
                                    <w:tcW w:w="0" w:type="auto"/>
                                    <w:vAlign w:val="center"/>
                                    <w:hideMark/>
                                  </w:tcPr>
                                  <w:p w14:paraId="02CD309B" w14:textId="77777777" w:rsidR="00974A05" w:rsidRDefault="00974A05">
                                    <w:pPr>
                                      <w:rPr>
                                        <w:lang w:eastAsia="en-US"/>
                                      </w:rPr>
                                    </w:pPr>
                                  </w:p>
                                </w:tc>
                              </w:tr>
                            </w:tbl>
                            <w:p w14:paraId="4E663D5F" w14:textId="77777777" w:rsidR="00974A05" w:rsidRDefault="00974A05">
                              <w:pPr>
                                <w:rPr>
                                  <w:rFonts w:asciiTheme="minorHAnsi" w:hAnsiTheme="minorHAnsi" w:cstheme="minorBidi"/>
                                  <w:lang w:eastAsia="en-US"/>
                                </w:rPr>
                              </w:pPr>
                            </w:p>
                          </w:tc>
                        </w:tr>
                      </w:tbl>
                      <w:p w14:paraId="05E02D3C" w14:textId="77777777" w:rsidR="00974A05" w:rsidRDefault="00974A05">
                        <w:pPr>
                          <w:rPr>
                            <w:rFonts w:asciiTheme="minorHAnsi" w:hAnsiTheme="minorHAnsi" w:cstheme="minorBidi"/>
                            <w:lang w:eastAsia="en-US"/>
                          </w:rPr>
                        </w:pPr>
                      </w:p>
                    </w:tc>
                  </w:tr>
                </w:tbl>
                <w:p w14:paraId="58E5CED8" w14:textId="77777777" w:rsidR="00974A05" w:rsidRDefault="00974A05">
                  <w:pPr>
                    <w:jc w:val="center"/>
                    <w:rPr>
                      <w:rFonts w:asciiTheme="minorHAnsi" w:hAnsiTheme="minorHAnsi" w:cstheme="minorBidi"/>
                      <w:lang w:eastAsia="en-US"/>
                    </w:rPr>
                  </w:pPr>
                </w:p>
              </w:tc>
            </w:tr>
            <w:tr w:rsidR="00974A05" w14:paraId="3C465BCA" w14:textId="77777777">
              <w:trPr>
                <w:jc w:val="center"/>
              </w:trPr>
              <w:tc>
                <w:tcPr>
                  <w:tcW w:w="0" w:type="auto"/>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74A05" w14:paraId="54787B1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974A05" w14:paraId="35A3409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974A05" w14:paraId="6B0B28F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74A05" w14:paraId="70EFB83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74A05" w14:paraId="422761BC" w14:textId="77777777">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4A05" w14:paraId="18D4033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4A05" w14:paraId="6A6CBDD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4A05" w14:paraId="06315CFC" w14:textId="77777777">
                                                              <w:tc>
                                                                <w:tcPr>
                                                                  <w:tcW w:w="360" w:type="dxa"/>
                                                                  <w:vAlign w:val="center"/>
                                                                  <w:hideMark/>
                                                                </w:tcPr>
                                                                <w:p w14:paraId="5C5A1054" w14:textId="77777777" w:rsidR="00974A05" w:rsidRDefault="00974A05">
                                                                  <w:pPr>
                                                                    <w:jc w:val="center"/>
                                                                    <w:rPr>
                                                                      <w:lang w:eastAsia="en-US"/>
                                                                    </w:rPr>
                                                                  </w:pPr>
                                                                  <w:r>
                                                                    <w:rPr>
                                                                      <w:noProof/>
                                                                      <w:color w:val="0000FF"/>
                                                                      <w:lang w:eastAsia="en-US"/>
                                                                    </w:rPr>
                                                                    <w:lastRenderedPageBreak/>
                                                                    <w:drawing>
                                                                      <wp:inline distT="0" distB="0" distL="0" distR="0" wp14:anchorId="65840A1A" wp14:editId="1584687B">
                                                                        <wp:extent cx="228600" cy="228600"/>
                                                                        <wp:effectExtent l="0" t="0" r="0" b="0"/>
                                                                        <wp:docPr id="5" name="Picture 5"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C8DA55" w14:textId="77777777" w:rsidR="00974A05" w:rsidRDefault="00974A05">
                                                            <w:pPr>
                                                              <w:rPr>
                                                                <w:rFonts w:asciiTheme="minorHAnsi" w:hAnsiTheme="minorHAnsi" w:cstheme="minorBidi"/>
                                                                <w:lang w:eastAsia="en-US"/>
                                                              </w:rPr>
                                                            </w:pPr>
                                                          </w:p>
                                                        </w:tc>
                                                      </w:tr>
                                                    </w:tbl>
                                                    <w:p w14:paraId="68BC3F44" w14:textId="77777777" w:rsidR="00974A05" w:rsidRDefault="00974A05">
                                                      <w:pPr>
                                                        <w:rPr>
                                                          <w:rFonts w:asciiTheme="minorHAnsi" w:hAnsiTheme="minorHAnsi" w:cstheme="minorBidi"/>
                                                          <w:lang w:eastAsia="en-US"/>
                                                        </w:rPr>
                                                      </w:pPr>
                                                    </w:p>
                                                  </w:tc>
                                                </w:tr>
                                              </w:tbl>
                                              <w:p w14:paraId="188B79CC" w14:textId="77777777" w:rsidR="00974A05" w:rsidRDefault="00974A05">
                                                <w:pPr>
                                                  <w:jc w:val="center"/>
                                                  <w:rPr>
                                                    <w:lang w:eastAsia="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4A05" w14:paraId="0ED2C5B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4A05" w14:paraId="76EC7AA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4A05" w14:paraId="6A9D01EA" w14:textId="77777777">
                                                              <w:tc>
                                                                <w:tcPr>
                                                                  <w:tcW w:w="360" w:type="dxa"/>
                                                                  <w:vAlign w:val="center"/>
                                                                  <w:hideMark/>
                                                                </w:tcPr>
                                                                <w:p w14:paraId="39CC386A" w14:textId="77777777" w:rsidR="00974A05" w:rsidRDefault="00974A05">
                                                                  <w:pPr>
                                                                    <w:jc w:val="center"/>
                                                                    <w:rPr>
                                                                      <w:lang w:eastAsia="en-US"/>
                                                                    </w:rPr>
                                                                  </w:pPr>
                                                                  <w:r>
                                                                    <w:rPr>
                                                                      <w:noProof/>
                                                                      <w:color w:val="0000FF"/>
                                                                      <w:lang w:eastAsia="en-US"/>
                                                                    </w:rPr>
                                                                    <w:drawing>
                                                                      <wp:inline distT="0" distB="0" distL="0" distR="0" wp14:anchorId="13A8F2C7" wp14:editId="537689B1">
                                                                        <wp:extent cx="228600" cy="228600"/>
                                                                        <wp:effectExtent l="0" t="0" r="0" b="0"/>
                                                                        <wp:docPr id="4" name="Picture 4"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45F4BD2" w14:textId="77777777" w:rsidR="00974A05" w:rsidRDefault="00974A05">
                                                            <w:pPr>
                                                              <w:rPr>
                                                                <w:rFonts w:asciiTheme="minorHAnsi" w:hAnsiTheme="minorHAnsi" w:cstheme="minorBidi"/>
                                                                <w:lang w:eastAsia="en-US"/>
                                                              </w:rPr>
                                                            </w:pPr>
                                                          </w:p>
                                                        </w:tc>
                                                      </w:tr>
                                                    </w:tbl>
                                                    <w:p w14:paraId="692A1775" w14:textId="77777777" w:rsidR="00974A05" w:rsidRDefault="00974A05">
                                                      <w:pPr>
                                                        <w:rPr>
                                                          <w:rFonts w:asciiTheme="minorHAnsi" w:hAnsiTheme="minorHAnsi" w:cstheme="minorBidi"/>
                                                          <w:lang w:eastAsia="en-US"/>
                                                        </w:rPr>
                                                      </w:pPr>
                                                    </w:p>
                                                  </w:tc>
                                                </w:tr>
                                              </w:tbl>
                                              <w:p w14:paraId="46F89C28" w14:textId="77777777" w:rsidR="00974A05" w:rsidRDefault="00974A05">
                                                <w:pPr>
                                                  <w:jc w:val="center"/>
                                                  <w:rPr>
                                                    <w:lang w:eastAsia="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4A05" w14:paraId="34839C0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4A05" w14:paraId="100F24F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4A05" w14:paraId="6522C507" w14:textId="77777777">
                                                              <w:tc>
                                                                <w:tcPr>
                                                                  <w:tcW w:w="360" w:type="dxa"/>
                                                                  <w:vAlign w:val="center"/>
                                                                  <w:hideMark/>
                                                                </w:tcPr>
                                                                <w:p w14:paraId="4A8B82B9" w14:textId="77777777" w:rsidR="00974A05" w:rsidRDefault="00974A05">
                                                                  <w:pPr>
                                                                    <w:jc w:val="center"/>
                                                                    <w:rPr>
                                                                      <w:lang w:eastAsia="en-US"/>
                                                                    </w:rPr>
                                                                  </w:pPr>
                                                                  <w:r>
                                                                    <w:rPr>
                                                                      <w:noProof/>
                                                                      <w:color w:val="0000FF"/>
                                                                      <w:lang w:eastAsia="en-US"/>
                                                                    </w:rPr>
                                                                    <w:drawing>
                                                                      <wp:inline distT="0" distB="0" distL="0" distR="0" wp14:anchorId="058D3D7F" wp14:editId="167CDDB9">
                                                                        <wp:extent cx="228600" cy="228600"/>
                                                                        <wp:effectExtent l="0" t="0" r="0" b="0"/>
                                                                        <wp:docPr id="3" name="Picture 3" descr="Lin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1ED84E0" w14:textId="77777777" w:rsidR="00974A05" w:rsidRDefault="00974A05">
                                                            <w:pPr>
                                                              <w:rPr>
                                                                <w:rFonts w:asciiTheme="minorHAnsi" w:hAnsiTheme="minorHAnsi" w:cstheme="minorBidi"/>
                                                                <w:lang w:eastAsia="en-US"/>
                                                              </w:rPr>
                                                            </w:pPr>
                                                          </w:p>
                                                        </w:tc>
                                                      </w:tr>
                                                    </w:tbl>
                                                    <w:p w14:paraId="300B1724" w14:textId="77777777" w:rsidR="00974A05" w:rsidRDefault="00974A05">
                                                      <w:pPr>
                                                        <w:rPr>
                                                          <w:rFonts w:asciiTheme="minorHAnsi" w:hAnsiTheme="minorHAnsi" w:cstheme="minorBidi"/>
                                                          <w:lang w:eastAsia="en-US"/>
                                                        </w:rPr>
                                                      </w:pPr>
                                                    </w:p>
                                                  </w:tc>
                                                </w:tr>
                                              </w:tbl>
                                              <w:p w14:paraId="38051A6C" w14:textId="77777777" w:rsidR="00974A05" w:rsidRDefault="00974A05">
                                                <w:pPr>
                                                  <w:jc w:val="center"/>
                                                  <w:rPr>
                                                    <w:lang w:eastAsia="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74A05" w14:paraId="13723C8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74A05" w14:paraId="542358F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4A05" w14:paraId="6A089ADD" w14:textId="77777777">
                                                              <w:tc>
                                                                <w:tcPr>
                                                                  <w:tcW w:w="360" w:type="dxa"/>
                                                                  <w:vAlign w:val="center"/>
                                                                  <w:hideMark/>
                                                                </w:tcPr>
                                                                <w:p w14:paraId="36D37A53" w14:textId="77777777" w:rsidR="00974A05" w:rsidRDefault="00974A05">
                                                                  <w:pPr>
                                                                    <w:jc w:val="center"/>
                                                                    <w:rPr>
                                                                      <w:lang w:eastAsia="en-US"/>
                                                                    </w:rPr>
                                                                  </w:pPr>
                                                                  <w:r>
                                                                    <w:rPr>
                                                                      <w:noProof/>
                                                                      <w:color w:val="0000FF"/>
                                                                      <w:lang w:eastAsia="en-US"/>
                                                                    </w:rPr>
                                                                    <w:drawing>
                                                                      <wp:inline distT="0" distB="0" distL="0" distR="0" wp14:anchorId="4F52B89B" wp14:editId="3380E734">
                                                                        <wp:extent cx="228600" cy="228600"/>
                                                                        <wp:effectExtent l="0" t="0" r="0" b="0"/>
                                                                        <wp:docPr id="2" name="Picture 2"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2A12E2" w14:textId="77777777" w:rsidR="00974A05" w:rsidRDefault="00974A05">
                                                            <w:pPr>
                                                              <w:rPr>
                                                                <w:rFonts w:asciiTheme="minorHAnsi" w:hAnsiTheme="minorHAnsi" w:cstheme="minorBidi"/>
                                                                <w:lang w:eastAsia="en-US"/>
                                                              </w:rPr>
                                                            </w:pPr>
                                                          </w:p>
                                                        </w:tc>
                                                      </w:tr>
                                                    </w:tbl>
                                                    <w:p w14:paraId="6B180484" w14:textId="77777777" w:rsidR="00974A05" w:rsidRDefault="00974A05">
                                                      <w:pPr>
                                                        <w:rPr>
                                                          <w:rFonts w:asciiTheme="minorHAnsi" w:hAnsiTheme="minorHAnsi" w:cstheme="minorBidi"/>
                                                          <w:lang w:eastAsia="en-US"/>
                                                        </w:rPr>
                                                      </w:pPr>
                                                    </w:p>
                                                  </w:tc>
                                                </w:tr>
                                              </w:tbl>
                                              <w:p w14:paraId="2088FB8F" w14:textId="77777777" w:rsidR="00974A05" w:rsidRDefault="00974A05">
                                                <w:pPr>
                                                  <w:rPr>
                                                    <w:rFonts w:asciiTheme="minorHAnsi" w:hAnsiTheme="minorHAnsi" w:cstheme="minorBidi"/>
                                                    <w:lang w:eastAsia="en-US"/>
                                                  </w:rPr>
                                                </w:pPr>
                                              </w:p>
                                            </w:tc>
                                          </w:tr>
                                        </w:tbl>
                                        <w:p w14:paraId="7BDD3964" w14:textId="77777777" w:rsidR="00974A05" w:rsidRDefault="00974A05">
                                          <w:pPr>
                                            <w:jc w:val="center"/>
                                            <w:rPr>
                                              <w:rFonts w:asciiTheme="minorHAnsi" w:hAnsiTheme="minorHAnsi" w:cstheme="minorBidi"/>
                                              <w:lang w:eastAsia="en-US"/>
                                            </w:rPr>
                                          </w:pPr>
                                        </w:p>
                                      </w:tc>
                                    </w:tr>
                                  </w:tbl>
                                  <w:p w14:paraId="377A5492" w14:textId="77777777" w:rsidR="00974A05" w:rsidRDefault="00974A05">
                                    <w:pPr>
                                      <w:jc w:val="center"/>
                                      <w:rPr>
                                        <w:rFonts w:asciiTheme="minorHAnsi" w:hAnsiTheme="minorHAnsi" w:cstheme="minorBidi"/>
                                        <w:lang w:eastAsia="en-US"/>
                                      </w:rPr>
                                    </w:pPr>
                                  </w:p>
                                </w:tc>
                              </w:tr>
                            </w:tbl>
                            <w:p w14:paraId="2630B52D" w14:textId="77777777" w:rsidR="00974A05" w:rsidRDefault="00974A05">
                              <w:pPr>
                                <w:jc w:val="center"/>
                                <w:rPr>
                                  <w:rFonts w:asciiTheme="minorHAnsi" w:hAnsiTheme="minorHAnsi" w:cstheme="minorBidi"/>
                                  <w:lang w:eastAsia="en-US"/>
                                </w:rPr>
                              </w:pPr>
                            </w:p>
                          </w:tc>
                        </w:tr>
                      </w:tbl>
                      <w:p w14:paraId="52F28287" w14:textId="77777777" w:rsidR="00974A05" w:rsidRDefault="00974A05">
                        <w:pPr>
                          <w:rPr>
                            <w:lang w:eastAsia="en-US"/>
                          </w:rPr>
                        </w:pPr>
                      </w:p>
                      <w:tbl>
                        <w:tblPr>
                          <w:tblW w:w="5000" w:type="pct"/>
                          <w:tblCellMar>
                            <w:left w:w="0" w:type="dxa"/>
                            <w:right w:w="0" w:type="dxa"/>
                          </w:tblCellMar>
                          <w:tblLook w:val="04A0" w:firstRow="1" w:lastRow="0" w:firstColumn="1" w:lastColumn="0" w:noHBand="0" w:noVBand="1"/>
                        </w:tblPr>
                        <w:tblGrid>
                          <w:gridCol w:w="9360"/>
                        </w:tblGrid>
                        <w:tr w:rsidR="00974A05" w14:paraId="06AF0D22"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820"/>
                              </w:tblGrid>
                              <w:tr w:rsidR="00974A05" w14:paraId="08D4B709" w14:textId="77777777">
                                <w:tc>
                                  <w:tcPr>
                                    <w:tcW w:w="0" w:type="auto"/>
                                    <w:tcBorders>
                                      <w:top w:val="single" w:sz="12" w:space="0" w:color="505050"/>
                                      <w:left w:val="nil"/>
                                      <w:bottom w:val="nil"/>
                                      <w:right w:val="nil"/>
                                    </w:tcBorders>
                                    <w:vAlign w:val="center"/>
                                    <w:hideMark/>
                                  </w:tcPr>
                                  <w:p w14:paraId="3C86576D" w14:textId="77777777" w:rsidR="00974A05" w:rsidRDefault="00974A05">
                                    <w:pPr>
                                      <w:rPr>
                                        <w:lang w:eastAsia="en-US"/>
                                      </w:rPr>
                                    </w:pPr>
                                  </w:p>
                                </w:tc>
                              </w:tr>
                            </w:tbl>
                            <w:p w14:paraId="637E7DDA" w14:textId="77777777" w:rsidR="00974A05" w:rsidRDefault="00974A05">
                              <w:pPr>
                                <w:rPr>
                                  <w:rFonts w:asciiTheme="minorHAnsi" w:hAnsiTheme="minorHAnsi" w:cstheme="minorBidi"/>
                                  <w:lang w:eastAsia="en-US"/>
                                </w:rPr>
                              </w:pPr>
                            </w:p>
                          </w:tc>
                        </w:tr>
                      </w:tbl>
                      <w:p w14:paraId="04978B46" w14:textId="77777777" w:rsidR="00974A05" w:rsidRDefault="00974A05">
                        <w:pPr>
                          <w:rPr>
                            <w:lang w:eastAsia="en-US"/>
                          </w:rPr>
                        </w:pPr>
                      </w:p>
                      <w:tbl>
                        <w:tblPr>
                          <w:tblW w:w="5000" w:type="pct"/>
                          <w:tblCellMar>
                            <w:left w:w="0" w:type="dxa"/>
                            <w:right w:w="0" w:type="dxa"/>
                          </w:tblCellMar>
                          <w:tblLook w:val="04A0" w:firstRow="1" w:lastRow="0" w:firstColumn="1" w:lastColumn="0" w:noHBand="0" w:noVBand="1"/>
                        </w:tblPr>
                        <w:tblGrid>
                          <w:gridCol w:w="9360"/>
                        </w:tblGrid>
                        <w:tr w:rsidR="00974A05" w14:paraId="26FDE8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4A05" w14:paraId="3251605E" w14:textId="77777777">
                                <w:tc>
                                  <w:tcPr>
                                    <w:tcW w:w="0" w:type="auto"/>
                                    <w:tcMar>
                                      <w:top w:w="0" w:type="dxa"/>
                                      <w:left w:w="270" w:type="dxa"/>
                                      <w:bottom w:w="135" w:type="dxa"/>
                                      <w:right w:w="270" w:type="dxa"/>
                                    </w:tcMar>
                                    <w:hideMark/>
                                  </w:tcPr>
                                  <w:p w14:paraId="44C6BF91" w14:textId="77777777" w:rsidR="00974A05" w:rsidRDefault="00974A05">
                                    <w:pPr>
                                      <w:spacing w:line="360" w:lineRule="auto"/>
                                      <w:jc w:val="center"/>
                                      <w:rPr>
                                        <w:rFonts w:ascii="Helvetica" w:hAnsi="Helvetica" w:cs="Helvetica"/>
                                        <w:color w:val="FFFFFF"/>
                                        <w:sz w:val="18"/>
                                        <w:szCs w:val="18"/>
                                        <w:lang w:eastAsia="en-US"/>
                                      </w:rPr>
                                    </w:pPr>
                                    <w:r>
                                      <w:rPr>
                                        <w:rStyle w:val="Emphasis"/>
                                        <w:rFonts w:ascii="Helvetica" w:hAnsi="Helvetica" w:cs="Helvetica"/>
                                        <w:color w:val="FFFFFF"/>
                                        <w:sz w:val="18"/>
                                        <w:szCs w:val="18"/>
                                        <w:lang w:eastAsia="en-US"/>
                                      </w:rPr>
                                      <w:t xml:space="preserve">Copyright © 2020 </w:t>
                                    </w:r>
                                    <w:proofErr w:type="spellStart"/>
                                    <w:r>
                                      <w:rPr>
                                        <w:rStyle w:val="Emphasis"/>
                                        <w:rFonts w:ascii="Helvetica" w:hAnsi="Helvetica" w:cs="Helvetica"/>
                                        <w:color w:val="FFFFFF"/>
                                        <w:sz w:val="18"/>
                                        <w:szCs w:val="18"/>
                                        <w:lang w:eastAsia="en-US"/>
                                      </w:rPr>
                                      <w:t>Baeumler</w:t>
                                    </w:r>
                                    <w:proofErr w:type="spellEnd"/>
                                    <w:r>
                                      <w:rPr>
                                        <w:rStyle w:val="Emphasis"/>
                                        <w:rFonts w:ascii="Helvetica" w:hAnsi="Helvetica" w:cs="Helvetica"/>
                                        <w:color w:val="FFFFFF"/>
                                        <w:sz w:val="18"/>
                                        <w:szCs w:val="18"/>
                                        <w:lang w:eastAsia="en-US"/>
                                      </w:rPr>
                                      <w:t xml:space="preserve"> Approved, </w:t>
                                    </w:r>
                                    <w:proofErr w:type="gramStart"/>
                                    <w:r>
                                      <w:rPr>
                                        <w:rStyle w:val="Emphasis"/>
                                        <w:rFonts w:ascii="Helvetica" w:hAnsi="Helvetica" w:cs="Helvetica"/>
                                        <w:color w:val="FFFFFF"/>
                                        <w:sz w:val="18"/>
                                        <w:szCs w:val="18"/>
                                        <w:lang w:eastAsia="en-US"/>
                                      </w:rPr>
                                      <w:t>All</w:t>
                                    </w:r>
                                    <w:proofErr w:type="gramEnd"/>
                                    <w:r>
                                      <w:rPr>
                                        <w:rStyle w:val="Emphasis"/>
                                        <w:rFonts w:ascii="Helvetica" w:hAnsi="Helvetica" w:cs="Helvetica"/>
                                        <w:color w:val="FFFFFF"/>
                                        <w:sz w:val="18"/>
                                        <w:szCs w:val="18"/>
                                        <w:lang w:eastAsia="en-US"/>
                                      </w:rPr>
                                      <w:t xml:space="preserve"> rights reserved.</w:t>
                                    </w:r>
                                    <w:r>
                                      <w:rPr>
                                        <w:rFonts w:ascii="Helvetica" w:hAnsi="Helvetica" w:cs="Helvetica"/>
                                        <w:color w:val="FFFFFF"/>
                                        <w:sz w:val="18"/>
                                        <w:szCs w:val="18"/>
                                        <w:lang w:eastAsia="en-US"/>
                                      </w:rPr>
                                      <w:t xml:space="preserve"> </w:t>
                                    </w:r>
                                    <w:r>
                                      <w:rPr>
                                        <w:rFonts w:ascii="Helvetica" w:hAnsi="Helvetica" w:cs="Helvetica"/>
                                        <w:color w:val="FFFFFF"/>
                                        <w:sz w:val="18"/>
                                        <w:szCs w:val="18"/>
                                        <w:lang w:eastAsia="en-US"/>
                                      </w:rPr>
                                      <w:br/>
                                      <w:t xml:space="preserve">You are receiving this email as a </w:t>
                                    </w:r>
                                    <w:proofErr w:type="spellStart"/>
                                    <w:r>
                                      <w:rPr>
                                        <w:rFonts w:ascii="Helvetica" w:hAnsi="Helvetica" w:cs="Helvetica"/>
                                        <w:color w:val="FFFFFF"/>
                                        <w:sz w:val="18"/>
                                        <w:szCs w:val="18"/>
                                        <w:lang w:eastAsia="en-US"/>
                                      </w:rPr>
                                      <w:t>Baeumler</w:t>
                                    </w:r>
                                    <w:proofErr w:type="spellEnd"/>
                                    <w:r>
                                      <w:rPr>
                                        <w:rFonts w:ascii="Helvetica" w:hAnsi="Helvetica" w:cs="Helvetica"/>
                                        <w:color w:val="FFFFFF"/>
                                        <w:sz w:val="18"/>
                                        <w:szCs w:val="18"/>
                                        <w:lang w:eastAsia="en-US"/>
                                      </w:rPr>
                                      <w:t xml:space="preserve"> Approved Member. </w:t>
                                    </w:r>
                                    <w:r>
                                      <w:rPr>
                                        <w:rFonts w:ascii="Helvetica" w:hAnsi="Helvetica" w:cs="Helvetica"/>
                                        <w:color w:val="FFFFFF"/>
                                        <w:sz w:val="18"/>
                                        <w:szCs w:val="18"/>
                                        <w:lang w:eastAsia="en-US"/>
                                      </w:rPr>
                                      <w:br/>
                                    </w:r>
                                    <w:r>
                                      <w:rPr>
                                        <w:rFonts w:ascii="Helvetica" w:hAnsi="Helvetica" w:cs="Helvetica"/>
                                        <w:color w:val="FFFFFF"/>
                                        <w:sz w:val="18"/>
                                        <w:szCs w:val="18"/>
                                        <w:lang w:eastAsia="en-US"/>
                                      </w:rPr>
                                      <w:br/>
                                    </w:r>
                                    <w:r>
                                      <w:rPr>
                                        <w:rStyle w:val="Strong"/>
                                        <w:rFonts w:ascii="Helvetica" w:hAnsi="Helvetica" w:cs="Helvetica"/>
                                        <w:color w:val="FFFFFF"/>
                                        <w:sz w:val="18"/>
                                        <w:szCs w:val="18"/>
                                        <w:lang w:eastAsia="en-US"/>
                                      </w:rPr>
                                      <w:t>Our mailing address is:</w:t>
                                    </w:r>
                                    <w:r>
                                      <w:rPr>
                                        <w:rFonts w:ascii="Helvetica" w:hAnsi="Helvetica" w:cs="Helvetica"/>
                                        <w:color w:val="FFFFFF"/>
                                        <w:sz w:val="18"/>
                                        <w:szCs w:val="18"/>
                                        <w:lang w:eastAsia="en-US"/>
                                      </w:rPr>
                                      <w:t xml:space="preserve"> </w:t>
                                    </w:r>
                                  </w:p>
                                  <w:p w14:paraId="17AFEDED" w14:textId="77777777" w:rsidR="00974A05" w:rsidRDefault="00974A05">
                                    <w:pPr>
                                      <w:spacing w:line="360" w:lineRule="auto"/>
                                      <w:jc w:val="center"/>
                                      <w:rPr>
                                        <w:rFonts w:ascii="Helvetica" w:hAnsi="Helvetica" w:cs="Helvetica"/>
                                        <w:color w:val="FFFFFF"/>
                                        <w:sz w:val="18"/>
                                        <w:szCs w:val="18"/>
                                        <w:lang w:eastAsia="en-US"/>
                                      </w:rPr>
                                    </w:pPr>
                                    <w:proofErr w:type="spellStart"/>
                                    <w:r>
                                      <w:rPr>
                                        <w:rFonts w:ascii="Helvetica" w:hAnsi="Helvetica" w:cs="Helvetica"/>
                                        <w:color w:val="FFFFFF"/>
                                        <w:sz w:val="18"/>
                                        <w:szCs w:val="18"/>
                                        <w:lang w:eastAsia="en-US"/>
                                      </w:rPr>
                                      <w:t>Baeumler</w:t>
                                    </w:r>
                                    <w:proofErr w:type="spellEnd"/>
                                    <w:r>
                                      <w:rPr>
                                        <w:rFonts w:ascii="Helvetica" w:hAnsi="Helvetica" w:cs="Helvetica"/>
                                        <w:color w:val="FFFFFF"/>
                                        <w:sz w:val="18"/>
                                        <w:szCs w:val="18"/>
                                        <w:lang w:eastAsia="en-US"/>
                                      </w:rPr>
                                      <w:t xml:space="preserve"> Approved</w:t>
                                    </w:r>
                                  </w:p>
                                  <w:p w14:paraId="5347652E" w14:textId="77777777" w:rsidR="00974A05" w:rsidRDefault="00974A05">
                                    <w:pPr>
                                      <w:spacing w:line="360" w:lineRule="auto"/>
                                      <w:jc w:val="center"/>
                                      <w:rPr>
                                        <w:rFonts w:ascii="Helvetica" w:hAnsi="Helvetica" w:cs="Helvetica"/>
                                        <w:color w:val="FFFFFF"/>
                                        <w:sz w:val="18"/>
                                        <w:szCs w:val="18"/>
                                        <w:lang w:eastAsia="en-US"/>
                                      </w:rPr>
                                    </w:pPr>
                                    <w:r>
                                      <w:rPr>
                                        <w:rFonts w:ascii="Helvetica" w:hAnsi="Helvetica" w:cs="Helvetica"/>
                                        <w:color w:val="FFFFFF"/>
                                        <w:sz w:val="18"/>
                                        <w:szCs w:val="18"/>
                                        <w:lang w:eastAsia="en-US"/>
                                      </w:rPr>
                                      <w:t>3416 Fairview Street</w:t>
                                    </w:r>
                                  </w:p>
                                  <w:p w14:paraId="75016582" w14:textId="77777777" w:rsidR="00974A05" w:rsidRDefault="00974A05">
                                    <w:pPr>
                                      <w:spacing w:line="360" w:lineRule="auto"/>
                                      <w:jc w:val="center"/>
                                      <w:rPr>
                                        <w:rFonts w:ascii="Helvetica" w:hAnsi="Helvetica" w:cs="Helvetica"/>
                                        <w:color w:val="FFFFFF"/>
                                        <w:sz w:val="18"/>
                                        <w:szCs w:val="18"/>
                                        <w:lang w:eastAsia="en-US"/>
                                      </w:rPr>
                                    </w:pPr>
                                    <w:r>
                                      <w:rPr>
                                        <w:rFonts w:ascii="Helvetica" w:hAnsi="Helvetica" w:cs="Helvetica"/>
                                        <w:color w:val="FFFFFF"/>
                                        <w:sz w:val="18"/>
                                        <w:szCs w:val="18"/>
                                        <w:lang w:eastAsia="en-US"/>
                                      </w:rPr>
                                      <w:t xml:space="preserve">Burlington, On L7N 2R5 </w:t>
                                    </w:r>
                                  </w:p>
                                  <w:p w14:paraId="51A01739" w14:textId="77777777" w:rsidR="00974A05" w:rsidRDefault="00974A05">
                                    <w:pPr>
                                      <w:spacing w:line="360" w:lineRule="auto"/>
                                      <w:jc w:val="center"/>
                                      <w:rPr>
                                        <w:rFonts w:ascii="Helvetica" w:hAnsi="Helvetica" w:cs="Helvetica"/>
                                        <w:color w:val="FFFFFF"/>
                                        <w:sz w:val="18"/>
                                        <w:szCs w:val="18"/>
                                        <w:lang w:eastAsia="en-US"/>
                                      </w:rPr>
                                    </w:pPr>
                                    <w:r>
                                      <w:rPr>
                                        <w:rFonts w:ascii="Helvetica" w:hAnsi="Helvetica" w:cs="Helvetica"/>
                                        <w:color w:val="FFFFFF"/>
                                        <w:sz w:val="18"/>
                                        <w:szCs w:val="18"/>
                                        <w:lang w:eastAsia="en-US"/>
                                      </w:rPr>
                                      <w:t>Canada</w:t>
                                    </w:r>
                                  </w:p>
                                  <w:p w14:paraId="05A7CE3C" w14:textId="77777777" w:rsidR="00974A05" w:rsidRDefault="00974A05">
                                    <w:pPr>
                                      <w:spacing w:line="360" w:lineRule="auto"/>
                                      <w:jc w:val="center"/>
                                      <w:rPr>
                                        <w:rFonts w:ascii="Helvetica" w:hAnsi="Helvetica" w:cs="Helvetica"/>
                                        <w:color w:val="FFFFFF"/>
                                        <w:sz w:val="18"/>
                                        <w:szCs w:val="18"/>
                                        <w:lang w:eastAsia="en-US"/>
                                      </w:rPr>
                                    </w:pPr>
                                    <w:r>
                                      <w:rPr>
                                        <w:rFonts w:ascii="Helvetica" w:hAnsi="Helvetica" w:cs="Helvetica"/>
                                        <w:color w:val="FFFFFF"/>
                                        <w:sz w:val="18"/>
                                        <w:szCs w:val="18"/>
                                        <w:lang w:eastAsia="en-US"/>
                                      </w:rPr>
                                      <w:br/>
                                    </w:r>
                                    <w:hyperlink r:id="rId14" w:tgtFrame="_blank" w:history="1">
                                      <w:r>
                                        <w:rPr>
                                          <w:rStyle w:val="Hyperlink"/>
                                          <w:rFonts w:ascii="Helvetica" w:hAnsi="Helvetica" w:cs="Helvetica"/>
                                          <w:sz w:val="18"/>
                                          <w:szCs w:val="18"/>
                                          <w:lang w:eastAsia="en-US"/>
                                        </w:rPr>
                                        <w:t>Add us to your address book</w:t>
                                      </w:r>
                                    </w:hyperlink>
                                  </w:p>
                                  <w:p w14:paraId="119F9630" w14:textId="77777777" w:rsidR="00974A05" w:rsidRDefault="00974A05">
                                    <w:pPr>
                                      <w:spacing w:line="360" w:lineRule="auto"/>
                                      <w:jc w:val="center"/>
                                      <w:rPr>
                                        <w:rFonts w:ascii="Helvetica" w:hAnsi="Helvetica" w:cs="Helvetica"/>
                                        <w:color w:val="FFFFFF"/>
                                        <w:sz w:val="18"/>
                                        <w:szCs w:val="18"/>
                                        <w:lang w:eastAsia="en-US"/>
                                      </w:rPr>
                                    </w:pPr>
                                    <w:r>
                                      <w:rPr>
                                        <w:rFonts w:ascii="Helvetica" w:hAnsi="Helvetica" w:cs="Helvetica"/>
                                        <w:color w:val="FFFFFF"/>
                                        <w:sz w:val="18"/>
                                        <w:szCs w:val="18"/>
                                        <w:lang w:eastAsia="en-US"/>
                                      </w:rPr>
                                      <w:br/>
                                    </w:r>
                                    <w:r>
                                      <w:rPr>
                                        <w:rFonts w:ascii="Helvetica" w:hAnsi="Helvetica" w:cs="Helvetica"/>
                                        <w:color w:val="FFFFFF"/>
                                        <w:sz w:val="18"/>
                                        <w:szCs w:val="18"/>
                                        <w:lang w:eastAsia="en-US"/>
                                      </w:rPr>
                                      <w:br/>
                                      <w:t>Want to change how you receive these emails?</w:t>
                                    </w:r>
                                    <w:r>
                                      <w:rPr>
                                        <w:rFonts w:ascii="Helvetica" w:hAnsi="Helvetica" w:cs="Helvetica"/>
                                        <w:color w:val="FFFFFF"/>
                                        <w:sz w:val="18"/>
                                        <w:szCs w:val="18"/>
                                        <w:lang w:eastAsia="en-US"/>
                                      </w:rPr>
                                      <w:br/>
                                      <w:t xml:space="preserve">You can </w:t>
                                    </w:r>
                                    <w:hyperlink r:id="rId15" w:tgtFrame="_blank" w:history="1">
                                      <w:r>
                                        <w:rPr>
                                          <w:rStyle w:val="Hyperlink"/>
                                          <w:rFonts w:ascii="Helvetica" w:hAnsi="Helvetica" w:cs="Helvetica"/>
                                          <w:color w:val="FFFFFF"/>
                                          <w:sz w:val="18"/>
                                          <w:szCs w:val="18"/>
                                          <w:lang w:eastAsia="en-US"/>
                                        </w:rPr>
                                        <w:t>update your preferences</w:t>
                                      </w:r>
                                    </w:hyperlink>
                                    <w:r>
                                      <w:rPr>
                                        <w:rFonts w:ascii="Helvetica" w:hAnsi="Helvetica" w:cs="Helvetica"/>
                                        <w:color w:val="FFFFFF"/>
                                        <w:sz w:val="18"/>
                                        <w:szCs w:val="18"/>
                                        <w:lang w:eastAsia="en-US"/>
                                      </w:rPr>
                                      <w:t xml:space="preserve"> or </w:t>
                                    </w:r>
                                    <w:hyperlink r:id="rId16" w:tgtFrame="_blank" w:history="1">
                                      <w:r>
                                        <w:rPr>
                                          <w:rStyle w:val="Hyperlink"/>
                                          <w:rFonts w:ascii="Helvetica" w:hAnsi="Helvetica" w:cs="Helvetica"/>
                                          <w:color w:val="FFFFFF"/>
                                          <w:sz w:val="18"/>
                                          <w:szCs w:val="18"/>
                                          <w:lang w:eastAsia="en-US"/>
                                        </w:rPr>
                                        <w:t>unsubscribe from this list</w:t>
                                      </w:r>
                                    </w:hyperlink>
                                    <w:r>
                                      <w:rPr>
                                        <w:rFonts w:ascii="Helvetica" w:hAnsi="Helvetica" w:cs="Helvetica"/>
                                        <w:color w:val="FFFFFF"/>
                                        <w:sz w:val="18"/>
                                        <w:szCs w:val="18"/>
                                        <w:lang w:eastAsia="en-US"/>
                                      </w:rPr>
                                      <w:t xml:space="preserve">. </w:t>
                                    </w:r>
                                    <w:r>
                                      <w:rPr>
                                        <w:rFonts w:ascii="Helvetica" w:hAnsi="Helvetica" w:cs="Helvetica"/>
                                        <w:color w:val="FFFFFF"/>
                                        <w:sz w:val="18"/>
                                        <w:szCs w:val="18"/>
                                        <w:lang w:eastAsia="en-US"/>
                                      </w:rPr>
                                      <w:br/>
                                    </w:r>
                                    <w:r>
                                      <w:rPr>
                                        <w:rFonts w:ascii="Helvetica" w:hAnsi="Helvetica" w:cs="Helvetica"/>
                                        <w:color w:val="FFFFFF"/>
                                        <w:sz w:val="18"/>
                                        <w:szCs w:val="18"/>
                                        <w:lang w:eastAsia="en-US"/>
                                      </w:rPr>
                                      <w:br/>
                                    </w:r>
                                    <w:r>
                                      <w:rPr>
                                        <w:rFonts w:ascii="Helvetica" w:hAnsi="Helvetica" w:cs="Helvetica"/>
                                        <w:noProof/>
                                        <w:color w:val="0000FF"/>
                                        <w:sz w:val="18"/>
                                        <w:szCs w:val="18"/>
                                        <w:lang w:eastAsia="en-US"/>
                                      </w:rPr>
                                      <w:drawing>
                                        <wp:inline distT="0" distB="0" distL="0" distR="0" wp14:anchorId="73328802" wp14:editId="7498B7EC">
                                          <wp:extent cx="1323975" cy="514350"/>
                                          <wp:effectExtent l="0" t="0" r="9525" b="0"/>
                                          <wp:docPr id="1" name="Picture 1" descr="Email Marketing Powered by Mailchi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76EAC113" w14:textId="77777777" w:rsidR="00974A05" w:rsidRDefault="00974A05">
                              <w:pPr>
                                <w:rPr>
                                  <w:rFonts w:asciiTheme="minorHAnsi" w:hAnsiTheme="minorHAnsi" w:cstheme="minorBidi"/>
                                  <w:lang w:eastAsia="en-US"/>
                                </w:rPr>
                              </w:pPr>
                            </w:p>
                          </w:tc>
                        </w:tr>
                      </w:tbl>
                      <w:p w14:paraId="75C65359" w14:textId="77777777" w:rsidR="00974A05" w:rsidRDefault="00974A05">
                        <w:pPr>
                          <w:rPr>
                            <w:rFonts w:asciiTheme="minorHAnsi" w:hAnsiTheme="minorHAnsi" w:cstheme="minorBidi"/>
                            <w:lang w:eastAsia="en-US"/>
                          </w:rPr>
                        </w:pPr>
                      </w:p>
                    </w:tc>
                  </w:tr>
                </w:tbl>
                <w:p w14:paraId="2D15E6DC" w14:textId="77777777" w:rsidR="00974A05" w:rsidRDefault="00974A05">
                  <w:pPr>
                    <w:jc w:val="center"/>
                    <w:rPr>
                      <w:rFonts w:asciiTheme="minorHAnsi" w:hAnsiTheme="minorHAnsi" w:cstheme="minorBidi"/>
                      <w:lang w:eastAsia="en-US"/>
                    </w:rPr>
                  </w:pPr>
                </w:p>
              </w:tc>
            </w:tr>
          </w:tbl>
          <w:p w14:paraId="723C345D" w14:textId="77777777" w:rsidR="00974A05" w:rsidRDefault="00974A05">
            <w:pPr>
              <w:jc w:val="center"/>
              <w:rPr>
                <w:rFonts w:asciiTheme="minorHAnsi" w:hAnsiTheme="minorHAnsi" w:cstheme="minorBidi"/>
                <w:lang w:eastAsia="en-US"/>
              </w:rPr>
            </w:pPr>
          </w:p>
        </w:tc>
      </w:tr>
    </w:tbl>
    <w:p w14:paraId="6149D7A9"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05"/>
    <w:rsid w:val="00565655"/>
    <w:rsid w:val="006010C5"/>
    <w:rsid w:val="00974A0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2760"/>
  <w15:chartTrackingRefBased/>
  <w15:docId w15:val="{1E19181E-A4F4-4C3C-81B3-4D08ADC9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0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A05"/>
    <w:rPr>
      <w:color w:val="0000FF"/>
      <w:u w:val="single"/>
    </w:rPr>
  </w:style>
  <w:style w:type="paragraph" w:styleId="NormalWeb">
    <w:name w:val="Normal (Web)"/>
    <w:basedOn w:val="Normal"/>
    <w:uiPriority w:val="99"/>
    <w:semiHidden/>
    <w:unhideWhenUsed/>
    <w:rsid w:val="00974A05"/>
    <w:pPr>
      <w:spacing w:before="100" w:beforeAutospacing="1" w:after="100" w:afterAutospacing="1"/>
    </w:pPr>
  </w:style>
  <w:style w:type="character" w:customStyle="1" w:styleId="m-1851033252022078359mcnpreviewtext">
    <w:name w:val="m_-1851033252022078359mcnpreviewtext"/>
    <w:basedOn w:val="DefaultParagraphFont"/>
    <w:rsid w:val="00974A05"/>
  </w:style>
  <w:style w:type="character" w:styleId="Strong">
    <w:name w:val="Strong"/>
    <w:basedOn w:val="DefaultParagraphFont"/>
    <w:uiPriority w:val="22"/>
    <w:qFormat/>
    <w:rsid w:val="00974A05"/>
    <w:rPr>
      <w:b/>
      <w:bCs/>
    </w:rPr>
  </w:style>
  <w:style w:type="character" w:styleId="Emphasis">
    <w:name w:val="Emphasis"/>
    <w:basedOn w:val="DefaultParagraphFont"/>
    <w:uiPriority w:val="20"/>
    <w:qFormat/>
    <w:rsid w:val="00974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eumlerapproved.us10.list-manage.com/track/click?u=d0c507de9a7b366d330393b23&amp;id=88de0a2bb0&amp;e=fabd4bd78d"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baeumlerapproved.us10.list-manage.com/track/click?u=d0c507de9a7b366d330393b23&amp;id=8cf462812c&amp;e=fabd4bd78d" TargetMode="External"/><Relationship Id="rId17" Type="http://schemas.openxmlformats.org/officeDocument/2006/relationships/hyperlink" Target="http://www.mailchimp.com/monkey-rewards/?utm_source=freemium_newsletter&amp;utm_medium=email&amp;utm_campaign=monkey_rewards&amp;aid=d0c507de9a7b366d330393b23&amp;afl=1" TargetMode="External"/><Relationship Id="rId2" Type="http://schemas.openxmlformats.org/officeDocument/2006/relationships/settings" Target="settings.xml"/><Relationship Id="rId16" Type="http://schemas.openxmlformats.org/officeDocument/2006/relationships/hyperlink" Target="https://baeumlerapproved.us10.list-manage.com/unsubscribe?u=d0c507de9a7b366d330393b23&amp;id=93a4a3302b&amp;e=fabd4bd78d&amp;c=8916e165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eumlerapproved.us10.list-manage.com/track/click?u=d0c507de9a7b366d330393b23&amp;id=8896f5e6df&amp;e=fabd4bd78d" TargetMode="External"/><Relationship Id="rId11" Type="http://schemas.openxmlformats.org/officeDocument/2006/relationships/image" Target="media/image4.png"/><Relationship Id="rId5" Type="http://schemas.openxmlformats.org/officeDocument/2006/relationships/hyperlink" Target="https://baeumlerapproved.us10.list-manage.com/track/click?u=d0c507de9a7b366d330393b23&amp;id=33a1916a11&amp;e=fabd4bd78d" TargetMode="External"/><Relationship Id="rId15" Type="http://schemas.openxmlformats.org/officeDocument/2006/relationships/hyperlink" Target="https://baeumlerapproved.us10.list-manage.com/profile?u=d0c507de9a7b366d330393b23&amp;id=93a4a3302b&amp;e=fabd4bd78d" TargetMode="External"/><Relationship Id="rId10" Type="http://schemas.openxmlformats.org/officeDocument/2006/relationships/hyperlink" Target="https://baeumlerapproved.us10.list-manage.com/track/click?u=d0c507de9a7b366d330393b23&amp;id=4e6ef8c475&amp;e=fabd4bd78d"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baeumlerapproved.us10.list-manage.com/vcard?u=d0c507de9a7b366d330393b23&amp;id=93a4a330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2020-04-01T15:17:00Z</dcterms:created>
  <dcterms:modified xsi:type="dcterms:W3CDTF">2020-04-01T15:19:00Z</dcterms:modified>
</cp:coreProperties>
</file>